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rFonts w:ascii="Arial" w:cs="Arial" w:eastAsia="Arial" w:hAnsi="Arial"/>
          <w:b/>
          <w:bCs/>
          <w:color w:val="1F4E79"/>
          <w:sz w:val="40"/>
          <w:szCs w:val="40"/>
        </w:rPr>
        <w:t xml:space="preserve">AI Governance Pack</w:t>
      </w:r>
    </w:p>
    <w:p>
      <w:pPr>
        <w:spacing w:after="60"/>
        <w:jc w:val="center"/>
      </w:pPr>
      <w:r>
        <w:rPr>
          <w:rFonts w:ascii="Arial" w:cs="Arial" w:eastAsia="Arial" w:hAnsi="Arial"/>
          <w:i/>
          <w:iCs/>
          <w:color w:val="2E75B6"/>
          <w:sz w:val="24"/>
          <w:szCs w:val="24"/>
        </w:rPr>
        <w:t xml:space="preserve">Template for Finance Teams | Northern Light Corporation</w:t>
      </w:r>
    </w:p>
    <w:p>
      <w:pPr>
        <w:spacing w:after="400"/>
        <w:jc w:val="center"/>
      </w:pPr>
      <w:r>
        <w:rPr>
          <w:rFonts w:ascii="Arial" w:cs="Arial" w:eastAsia="Arial" w:hAnsi="Arial"/>
          <w:i/>
          <w:iCs/>
          <w:color w:val="666666"/>
          <w:sz w:val="18"/>
          <w:szCs w:val="18"/>
        </w:rPr>
        <w:t xml:space="preserve">Status: ________________ | Version: 1.0 | Responsible: ________________</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BDD7EE" w:val="clear"/>
            <w:tcMar>
              <w:top w:type="dxa" w:w="120"/>
              <w:left w:type="dxa" w:w="160"/>
              <w:bottom w:type="dxa" w:w="120"/>
              <w:right w:type="dxa" w:w="160"/>
            </w:tcMar>
          </w:tcPr>
          <w:p>
            <w:pPr>
              <w:spacing w:after="0"/>
            </w:pPr>
            <w:r>
              <w:rPr>
                <w:rFonts w:ascii="Arial" w:cs="Arial" w:eastAsia="Arial" w:hAnsi="Arial"/>
                <w:i/>
                <w:iCs/>
                <w:sz w:val="18"/>
                <w:szCs w:val="18"/>
              </w:rPr>
              <w:t xml:space="preserve">NOTE: This document is a training template. All yellow-highlighted fields must be completed with company-specific information. This document does not replace legal review by Legal/Compliance.</w:t>
            </w:r>
          </w:p>
        </w:tc>
      </w:tr>
    </w:tbl>
    <w:p>
      <w:pPr>
        <w:pStyle w:val="Heading1"/>
        <w:pBdr>
          <w:bottom w:val="single" w:color="2E75B6" w:sz="6" w:space="1"/>
        </w:pBdr>
        <w:spacing w:before="280" w:after="140"/>
      </w:pPr>
      <w:r>
        <w:rPr>
          <w:rFonts w:ascii="Arial" w:cs="Arial" w:eastAsia="Arial" w:hAnsi="Arial"/>
          <w:b/>
          <w:bCs/>
          <w:color w:val="1F4E79"/>
          <w:sz w:val="28"/>
          <w:szCs w:val="28"/>
        </w:rPr>
        <w:t>Document 1 — Data Classification Matrix</w:t>
      </w:r>
    </w:p>
    <w:p>
      <w:pPr>
        <w:spacing w:after="100"/>
      </w:pPr>
      <w:r>
        <w:rPr>
          <w:rFonts w:ascii="Arial" w:cs="Arial" w:eastAsia="Arial" w:hAnsi="Arial"/>
          <w:sz w:val="20"/>
          <w:szCs w:val="20"/>
        </w:rPr>
        <w:t xml:space="preserve">The data classification matrix determines which data can be entered into AI tools. Each data category is assigned a protection level.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800"/>
        <w:gridCol w:w="1800"/>
        <w:gridCol w:w="2000"/>
        <w:gridCol w:w="2360"/>
      </w:tblGrid>
      <w:tr>
        <w:trPr>
          <w:tblHeader/>
        </w:trPr>
        <w:tc>
          <w:tcPr>
            <w:tcW w:type="dxa" w:w="14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Protection Level</w:t>
            </w:r>
          </w:p>
        </w:tc>
        <w:tc>
          <w:tcPr>
            <w:tcW w:type="dxa" w:w="1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Definition</w:t>
            </w:r>
          </w:p>
        </w:tc>
        <w:tc>
          <w:tcPr>
            <w:tcW w:type="dxa" w:w="1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Finance Examples</w:t>
            </w:r>
          </w:p>
        </w:tc>
        <w:tc>
          <w:tcPr>
            <w:tcW w:type="dxa" w:w="20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Permitted AI Tools</w:t>
            </w:r>
          </w:p>
        </w:tc>
        <w:tc>
          <w:tcPr>
            <w:tcW w:type="dxa" w:w="23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Prohibited / Restricted Tools</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 Public</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No confidentiality. Released for external communication.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iCs/>
                <w:sz w:val="18"/>
                <w:szCs w:val="18"/>
              </w:rPr>
              <w:t xml:space="preserve">Press releases, published annual reports, IR presentations</w:t>
            </w:r>
          </w:p>
        </w:tc>
        <w:tc>
          <w:tcPr>
            <w:tcW w:type="dxa" w:w="200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pPr>
              <w:spacing w:after="0"/>
            </w:pPr>
            <w:r>
              <w:rPr>
                <w:rFonts w:ascii="Arial" w:cs="Arial" w:eastAsia="Arial" w:hAnsi="Arial"/>
                <w:sz w:val="18"/>
                <w:szCs w:val="18"/>
              </w:rPr>
              <w:t xml:space="preserve">All tools (ChatGPT Free, Claude, Gemini, Copilot)</w:t>
            </w:r>
          </w:p>
        </w:tc>
        <w:tc>
          <w:tcPr>
            <w:tcW w:type="dxa" w:w="2360"/>
            <w:tcBorders>
              <w:top w:val="single" w:color="CCCCCC" w:sz="1"/>
              <w:left w:val="single" w:color="CCCCCC" w:sz="1"/>
              <w:bottom w:val="single" w:color="CCCCCC" w:sz="1"/>
              <w:right w:val="single" w:color="CCCCCC" w:sz="1"/>
            </w:tcBorders>
            <w:shd w:fill="FFCCCC" w:val="clear"/>
            <w:tcMar>
              <w:top w:type="dxa" w:w="80"/>
              <w:left w:type="dxa" w:w="120"/>
              <w:bottom w:type="dxa" w:w="80"/>
              <w:right w:type="dxa" w:w="120"/>
            </w:tcMar>
          </w:tcPr>
          <w:p>
            <w:pPr>
              <w:spacing w:after="0"/>
            </w:pPr>
            <w:r>
              <w:rPr>
                <w:rFonts w:ascii="Arial" w:cs="Arial" w:eastAsia="Arial" w:hAnsi="Arial"/>
                <w:sz w:val="18"/>
                <w:szCs w:val="18"/>
              </w:rPr>
              <w:t xml:space="preserve">–</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 Internal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Not for external parties, but no critical data.</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iCs/>
                <w:sz w:val="18"/>
                <w:szCs w:val="18"/>
              </w:rPr>
              <w:t xml:space="preserve">Internal reports, budget overviews (anonymized), process documentation</w:t>
            </w:r>
          </w:p>
        </w:tc>
        <w:tc>
          <w:tcPr>
            <w:tcW w:type="dxa" w:w="200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pPr>
              <w:spacing w:after="0"/>
            </w:pPr>
            <w:r>
              <w:rPr>
                <w:rFonts w:ascii="Arial" w:cs="Arial" w:eastAsia="Arial" w:hAnsi="Arial"/>
                <w:sz w:val="18"/>
                <w:szCs w:val="18"/>
              </w:rPr>
              <w:t xml:space="preserve">ChatGPT Teams (with DPA), M365 Copilot, Claude Pro with DPA</w:t>
            </w:r>
          </w:p>
        </w:tc>
        <w:tc>
          <w:tcPr>
            <w:tcW w:type="dxa" w:w="2360"/>
            <w:tcBorders>
              <w:top w:val="single" w:color="CCCCCC" w:sz="1"/>
              <w:left w:val="single" w:color="CCCCCC" w:sz="1"/>
              <w:bottom w:val="single" w:color="CCCCCC" w:sz="1"/>
              <w:right w:val="single" w:color="CCCCCC" w:sz="1"/>
            </w:tcBorders>
            <w:shd w:fill="FFCCCC" w:val="clear"/>
            <w:tcMar>
              <w:top w:type="dxa" w:w="80"/>
              <w:left w:type="dxa" w:w="120"/>
              <w:bottom w:type="dxa" w:w="80"/>
              <w:right w:type="dxa" w:w="120"/>
            </w:tcMar>
          </w:tcPr>
          <w:p>
            <w:pPr>
              <w:spacing w:after="0"/>
            </w:pPr>
            <w:r>
              <w:rPr>
                <w:rFonts w:ascii="Arial" w:cs="Arial" w:eastAsia="Arial" w:hAnsi="Arial"/>
                <w:sz w:val="18"/>
                <w:szCs w:val="18"/>
              </w:rPr>
              <w:t xml:space="preserve">ChatGPT Free, public APIs without DPA</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 Confidential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Business-critical data. Third parties only with DPA + tenant isolation.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iCs/>
                <w:sz w:val="18"/>
                <w:szCs w:val="18"/>
              </w:rPr>
              <w:t>Detailed forecasts, customer lists, compensation data, M&amp;A pipeline</w:t>
            </w:r>
          </w:p>
        </w:tc>
        <w:tc>
          <w:tcPr>
            <w:tcW w:type="dxa" w:w="200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pPr>
              <w:spacing w:after="0"/>
            </w:pPr>
            <w:r>
              <w:rPr>
                <w:rFonts w:ascii="Arial" w:cs="Arial" w:eastAsia="Arial" w:hAnsi="Arial"/>
                <w:sz w:val="18"/>
                <w:szCs w:val="18"/>
              </w:rPr>
              <w:t xml:space="preserve">Azure OpenAI (EU tenant), M365 Copilot (tenant isolated)</w:t>
            </w:r>
          </w:p>
        </w:tc>
        <w:tc>
          <w:tcPr>
            <w:tcW w:type="dxa" w:w="2360"/>
            <w:tcBorders>
              <w:top w:val="single" w:color="CCCCCC" w:sz="1"/>
              <w:left w:val="single" w:color="CCCCCC" w:sz="1"/>
              <w:bottom w:val="single" w:color="CCCCCC" w:sz="1"/>
              <w:right w:val="single" w:color="CCCCCC" w:sz="1"/>
            </w:tcBorders>
            <w:shd w:fill="FFCCCC" w:val="clear"/>
            <w:tcMar>
              <w:top w:type="dxa" w:w="80"/>
              <w:left w:type="dxa" w:w="120"/>
              <w:bottom w:type="dxa" w:w="80"/>
              <w:right w:type="dxa" w:w="120"/>
            </w:tcMar>
          </w:tcPr>
          <w:p>
            <w:pPr>
              <w:spacing w:after="0"/>
            </w:pPr>
            <w:r>
              <w:rPr>
                <w:rFonts w:ascii="Arial" w:cs="Arial" w:eastAsia="Arial" w:hAnsi="Arial"/>
                <w:sz w:val="18"/>
                <w:szCs w:val="18"/>
              </w:rPr>
              <w:t xml:space="preserve">ChatGPT Free/Teams without DPA, consumer LLMs</w:t>
            </w:r>
          </w:p>
        </w:tc>
      </w:tr>
      <w:tr>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 Strictly Confidential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Highest protection level. No cloud without explicit approval.</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iCs/>
                <w:sz w:val="18"/>
                <w:szCs w:val="18"/>
              </w:rPr>
              <w:t>Insider info (M&amp;A), board compensation, audit reports (unpublished)</w:t>
            </w:r>
          </w:p>
        </w:tc>
        <w:tc>
          <w:tcPr>
            <w:tcW w:type="dxa" w:w="200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pPr>
              <w:spacing w:after="0"/>
            </w:pPr>
            <w:r>
              <w:rPr>
                <w:rFonts w:ascii="Arial" w:cs="Arial" w:eastAsia="Arial" w:hAnsi="Arial"/>
                <w:sz w:val="18"/>
                <w:szCs w:val="18"/>
              </w:rPr>
              <w:t xml:space="preserve">On-premise LLM (after IT approval)</w:t>
            </w:r>
          </w:p>
        </w:tc>
        <w:tc>
          <w:tcPr>
            <w:tcW w:type="dxa" w:w="2360"/>
            <w:tcBorders>
              <w:top w:val="single" w:color="CCCCCC" w:sz="1"/>
              <w:left w:val="single" w:color="CCCCCC" w:sz="1"/>
              <w:bottom w:val="single" w:color="CCCCCC" w:sz="1"/>
              <w:right w:val="single" w:color="CCCCCC" w:sz="1"/>
            </w:tcBorders>
            <w:shd w:fill="FFCCCC" w:val="clear"/>
            <w:tcMar>
              <w:top w:type="dxa" w:w="80"/>
              <w:left w:type="dxa" w:w="120"/>
              <w:bottom w:type="dxa" w:w="80"/>
              <w:right w:type="dxa" w:w="120"/>
            </w:tcMar>
          </w:tcPr>
          <w:p>
            <w:pPr>
              <w:spacing w:after="0"/>
            </w:pPr>
            <w:r>
              <w:rPr>
                <w:rFonts w:ascii="Arial" w:cs="Arial" w:eastAsia="Arial" w:hAnsi="Arial"/>
                <w:sz w:val="18"/>
                <w:szCs w:val="18"/>
              </w:rPr>
              <w:t xml:space="preserve">ALL cloud services without explicit approval IT+Legal</w:t>
            </w:r>
          </w:p>
        </w:tc>
      </w:tr>
    </w:tbl>
    <w:p>
      <w:pPr>
        <w:spacing w:after="200"/>
      </w:pPr>
    </w:p>
    <w:p>
      <w:pPr>
        <w:pStyle w:val="Heading1"/>
        <w:pBdr>
          <w:bottom w:val="single" w:color="2E75B6" w:sz="6" w:space="1"/>
        </w:pBdr>
        <w:spacing w:before="280" w:after="140"/>
      </w:pPr>
      <w:r>
        <w:rPr>
          <w:rFonts w:ascii="Arial" w:cs="Arial" w:eastAsia="Arial" w:hAnsi="Arial"/>
          <w:b/>
          <w:bCs/>
          <w:color w:val="1F4E79"/>
          <w:sz w:val="28"/>
          <w:szCs w:val="28"/>
        </w:rPr>
        <w:t>Document 2 — AI Policy (1 Page)</w:t>
      </w:r>
    </w:p>
    <w:p>
      <w:pPr>
        <w:spacing w:after="100"/>
      </w:pPr>
      <w:r>
        <w:rPr>
          <w:rFonts w:ascii="Arial" w:cs="Arial" w:eastAsia="Arial" w:hAnsi="Arial"/>
          <w:sz w:val="20"/>
          <w:szCs w:val="20"/>
        </w:rPr>
        <w:t xml:space="preserve">This policy applies to all finance department employees using AI tools in a professional context.</w:t>
      </w:r>
    </w:p>
    <w:p>
      <w:pPr>
        <w:pStyle w:val="Heading2"/>
        <w:spacing w:before="200" w:after="100"/>
      </w:pPr>
      <w:r>
        <w:rPr>
          <w:rFonts w:ascii="Arial" w:cs="Arial" w:eastAsia="Arial" w:hAnsi="Arial"/>
          <w:b/>
          <w:bCs/>
          <w:color w:val="2E75B6"/>
          <w:sz w:val="24"/>
          <w:szCs w:val="24"/>
        </w:rPr>
        <w:t xml:space="preserve">Purpose and Scope</w:t>
      </w:r>
    </w:p>
    <w:p>
      <w:pPr>
        <w:spacing w:after="100"/>
      </w:pPr>
      <w:r>
        <w:rPr>
          <w:rFonts w:ascii="Arial" w:cs="Arial" w:eastAsia="Arial" w:hAnsi="Arial"/>
          <w:sz w:val="20"/>
          <w:szCs w:val="20"/>
        </w:rPr>
        <w:t xml:space="preserve">This policy regulates the use of AI-powered tools in the finance department of [ENTER COMPANY] and applies from [ENTER DATE] to all employees with access to AI systems.</w:t>
      </w:r>
    </w:p>
    <w:p>
      <w:pPr>
        <w:pStyle w:val="Heading2"/>
        <w:spacing w:before="200" w:after="100"/>
      </w:pPr>
      <w:r>
        <w:rPr>
          <w:rFonts w:ascii="Arial" w:cs="Arial" w:eastAsia="Arial" w:hAnsi="Arial"/>
          <w:b/>
          <w:bCs/>
          <w:color w:val="2E75B6"/>
          <w:sz w:val="24"/>
          <w:szCs w:val="24"/>
        </w:rPr>
        <w:t xml:space="preserve">Permitted Applications</w:t>
      </w:r>
    </w:p>
    <w:p>
      <w:pPr>
        <w:pStyle w:val="ListParagraph"/>
        <w:numPr>
          <w:ilvl w:val="0"/>
          <w:numId w:val="2"/>
        </w:numPr>
        <w:spacing w:after="60"/>
      </w:pPr>
      <w:r>
        <w:rPr>
          <w:rFonts w:ascii="Arial" w:cs="Arial" w:eastAsia="Arial" w:hAnsi="Arial"/>
          <w:sz w:val="20"/>
          <w:szCs w:val="20"/>
        </w:rPr>
        <w:t xml:space="preserve">Creation of analysis comments, reports, and management summaries</w:t>
      </w:r>
    </w:p>
    <w:p>
      <w:pPr>
        <w:pStyle w:val="ListParagraph"/>
        <w:numPr>
          <w:ilvl w:val="0"/>
          <w:numId w:val="2"/>
        </w:numPr>
        <w:spacing w:after="60"/>
      </w:pPr>
      <w:r>
        <w:rPr>
          <w:rFonts w:ascii="Arial" w:cs="Arial" w:eastAsia="Arial" w:hAnsi="Arial"/>
          <w:sz w:val="20"/>
          <w:szCs w:val="20"/>
        </w:rPr>
        <w:t xml:space="preserve">Support for forecasting, scenario analysis, and data evaluation</w:t>
      </w:r>
    </w:p>
    <w:p>
      <w:pPr>
        <w:pStyle w:val="ListParagraph"/>
        <w:numPr>
          <w:ilvl w:val="0"/>
          <w:numId w:val="2"/>
        </w:numPr>
        <w:spacing w:after="60"/>
      </w:pPr>
      <w:r>
        <w:rPr>
          <w:rFonts w:ascii="Arial" w:cs="Arial" w:eastAsia="Arial" w:hAnsi="Arial"/>
          <w:sz w:val="20"/>
          <w:szCs w:val="20"/>
        </w:rPr>
        <w:t xml:space="preserve">Automation of repetitive tasks (booking texts, reconciliations, templates)</w:t>
      </w:r>
    </w:p>
    <w:p>
      <w:pPr>
        <w:pStyle w:val="ListParagraph"/>
        <w:numPr>
          <w:ilvl w:val="0"/>
          <w:numId w:val="2"/>
        </w:numPr>
        <w:spacing w:after="60"/>
      </w:pPr>
      <w:r>
        <w:rPr>
          <w:rFonts w:ascii="Arial" w:cs="Arial" w:eastAsia="Arial" w:hAnsi="Arial"/>
          <w:sz w:val="20"/>
          <w:szCs w:val="20"/>
        </w:rPr>
        <w:t xml:space="preserve">Research, knowledge queries, and internal document analysis (compliant data)</w:t>
      </w:r>
    </w:p>
    <w:p>
      <w:pPr>
        <w:pStyle w:val="Heading2"/>
        <w:spacing w:before="200" w:after="100"/>
      </w:pPr>
      <w:r>
        <w:rPr>
          <w:rFonts w:ascii="Arial" w:cs="Arial" w:eastAsia="Arial" w:hAnsi="Arial"/>
          <w:b/>
          <w:bCs/>
          <w:color w:val="2E75B6"/>
          <w:sz w:val="24"/>
          <w:szCs w:val="24"/>
        </w:rPr>
        <w:t xml:space="preserve">Prohibited Data Inputs (Absolute)</w:t>
      </w:r>
    </w:p>
    <w:p>
      <w:pPr>
        <w:pStyle w:val="ListParagraph"/>
        <w:numPr>
          <w:ilvl w:val="0"/>
          <w:numId w:val="2"/>
        </w:numPr>
        <w:spacing w:after="60"/>
      </w:pPr>
      <w:r>
        <w:rPr>
          <w:rFonts w:ascii="Arial" w:cs="Arial" w:eastAsia="Arial" w:hAnsi="Arial"/>
          <w:sz w:val="20"/>
          <w:szCs w:val="20"/>
        </w:rPr>
        <w:t xml:space="preserve">Personal data of employees or customers without explicit approval</w:t>
      </w:r>
    </w:p>
    <w:p>
      <w:pPr>
        <w:pStyle w:val="ListParagraph"/>
        <w:numPr>
          <w:ilvl w:val="0"/>
          <w:numId w:val="2"/>
        </w:numPr>
        <w:spacing w:after="60"/>
      </w:pPr>
      <w:r>
        <w:rPr>
          <w:rFonts w:ascii="Arial" w:cs="Arial" w:eastAsia="Arial" w:hAnsi="Arial"/>
          <w:sz w:val="20"/>
          <w:szCs w:val="20"/>
        </w:rPr>
        <w:t>Insider information (M&amp;A, acquisition targets, unpublished results)</w:t>
      </w:r>
    </w:p>
    <w:p>
      <w:pPr>
        <w:pStyle w:val="ListParagraph"/>
        <w:numPr>
          <w:ilvl w:val="0"/>
          <w:numId w:val="2"/>
        </w:numPr>
        <w:spacing w:after="60"/>
      </w:pPr>
      <w:r>
        <w:rPr>
          <w:rFonts w:ascii="Arial" w:cs="Arial" w:eastAsia="Arial" w:hAnsi="Arial"/>
          <w:sz w:val="20"/>
          <w:szCs w:val="20"/>
        </w:rPr>
        <w:t xml:space="preserve">Board and supervisory board compensation, unpublished audit reports</w:t>
      </w:r>
    </w:p>
    <w:p>
      <w:pPr>
        <w:pStyle w:val="ListParagraph"/>
        <w:numPr>
          <w:ilvl w:val="0"/>
          <w:numId w:val="2"/>
        </w:numPr>
        <w:spacing w:after="60"/>
      </w:pPr>
      <w:r>
        <w:rPr>
          <w:rFonts w:ascii="Arial" w:cs="Arial" w:eastAsia="Arial" w:hAnsi="Arial"/>
          <w:sz w:val="20"/>
          <w:szCs w:val="20"/>
        </w:rPr>
        <w:t xml:space="preserve">Authentication data (passwords, tokens, API keys)</w:t>
      </w:r>
    </w:p>
    <w:p>
      <w:pPr>
        <w:pStyle w:val="ListParagraph"/>
        <w:numPr>
          <w:ilvl w:val="0"/>
          <w:numId w:val="2"/>
        </w:numPr>
        <w:spacing w:after="60"/>
      </w:pPr>
      <w:r>
        <w:rPr>
          <w:rFonts w:ascii="Arial" w:cs="Arial" w:eastAsia="Arial" w:hAnsi="Arial"/>
          <w:sz w:val="20"/>
          <w:szCs w:val="20"/>
        </w:rPr>
        <w:t xml:space="preserve">Contract data with confidentiality clauses without Legal approval</w:t>
      </w:r>
    </w:p>
    <w:p>
      <w:pPr>
        <w:pStyle w:val="Heading2"/>
        <w:spacing w:before="200" w:after="100"/>
      </w:pPr>
      <w:r>
        <w:rPr>
          <w:rFonts w:ascii="Arial" w:cs="Arial" w:eastAsia="Arial" w:hAnsi="Arial"/>
          <w:b/>
          <w:bCs/>
          <w:color w:val="2E75B6"/>
          <w:sz w:val="24"/>
          <w:szCs w:val="24"/>
        </w:rPr>
        <w:t xml:space="preserve">Quality Assurance Obligations</w:t>
      </w:r>
    </w:p>
    <w:p>
      <w:pPr>
        <w:pStyle w:val="ListParagraph"/>
        <w:numPr>
          <w:ilvl w:val="0"/>
          <w:numId w:val="2"/>
        </w:numPr>
        <w:spacing w:after="60"/>
      </w:pPr>
      <w:r>
        <w:rPr>
          <w:rFonts w:ascii="Arial" w:cs="Arial" w:eastAsia="Arial" w:hAnsi="Arial"/>
          <w:sz w:val="20"/>
          <w:szCs w:val="20"/>
        </w:rPr>
        <w:t xml:space="preserve">AI-generated content must be reviewed and approved by a specialist before use</w:t>
      </w:r>
    </w:p>
    <w:p>
      <w:pPr>
        <w:pStyle w:val="ListParagraph"/>
        <w:numPr>
          <w:ilvl w:val="0"/>
          <w:numId w:val="2"/>
        </w:numPr>
        <w:spacing w:after="60"/>
      </w:pPr>
      <w:r>
        <w:rPr>
          <w:rFonts w:ascii="Arial" w:cs="Arial" w:eastAsia="Arial" w:hAnsi="Arial"/>
          <w:sz w:val="20"/>
          <w:szCs w:val="20"/>
        </w:rPr>
        <w:t xml:space="preserve">Outputs from AI tools must be marked as AI-generated (internally, until approval)</w:t>
      </w:r>
    </w:p>
    <w:p>
      <w:pPr>
        <w:pStyle w:val="ListParagraph"/>
        <w:numPr>
          <w:ilvl w:val="0"/>
          <w:numId w:val="2"/>
        </w:numPr>
        <w:spacing w:after="60"/>
      </w:pPr>
      <w:r>
        <w:rPr>
          <w:rFonts w:ascii="Arial" w:cs="Arial" w:eastAsia="Arial" w:hAnsi="Arial"/>
          <w:sz w:val="20"/>
          <w:szCs w:val="20"/>
        </w:rPr>
        <w:t xml:space="preserve">For critical decisions: verify source citations and numbers against original data</w:t>
      </w:r>
    </w:p>
    <w:p>
      <w:pPr>
        <w:pStyle w:val="Heading2"/>
        <w:spacing w:before="200" w:after="100"/>
      </w:pPr>
      <w:r>
        <w:rPr>
          <w:rFonts w:ascii="Arial" w:cs="Arial" w:eastAsia="Arial" w:hAnsi="Arial"/>
          <w:b/>
          <w:bCs/>
          <w:color w:val="2E75B6"/>
          <w:sz w:val="24"/>
          <w:szCs w:val="24"/>
        </w:rPr>
        <w:t xml:space="preserve">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Role</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Responsibility</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Employees</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Compliance with this policy, reporting of incidents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Finance Manager / AI Owner</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Monitoring, approval of new use cases, reporting</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Legal/Compliance</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Review of new tools, data protection assessment</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IT / Data Governance</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Tool approval, tenant configuration, logging</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b/>
                <w:bCs/>
                <w:sz w:val="18"/>
                <w:szCs w:val="18"/>
              </w:rPr>
              <w:t xml:space="preserve">Works Council</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18"/>
                <w:szCs w:val="18"/>
              </w:rPr>
              <w:t xml:space="preserve">Information for material changes (per BetrVG § 87)</w:t>
            </w:r>
          </w:p>
        </w:tc>
      </w:tr>
    </w:tbl>
    <w:p>
      <w:pPr>
        <w:spacing w:after="140"/>
      </w:pPr>
    </w:p>
    <w:p>
      <w:pPr>
        <w:spacing w:after="100"/>
      </w:pPr>
      <w:r>
        <w:rPr>
          <w:rFonts w:ascii="Arial" w:cs="Arial" w:eastAsia="Arial" w:hAnsi="Arial"/>
          <w:sz w:val="20"/>
          <w:szCs w:val="20"/>
        </w:rPr>
        <w:t xml:space="preserve">Contact for questions: [ENTER NAME, EMAIL, DEPARTMENT] | Review cycle: Annually | Next review: [DATUM]</w:t>
      </w:r>
    </w:p>
    <w:p>
      <w:pPr>
        <w:pStyle w:val="Heading1"/>
        <w:pBdr>
          <w:bottom w:val="single" w:color="2E75B6" w:sz="6" w:space="1"/>
        </w:pBdr>
        <w:spacing w:before="280" w:after="140"/>
      </w:pPr>
      <w:r>
        <w:rPr>
          <w:rFonts w:ascii="Arial" w:cs="Arial" w:eastAsia="Arial" w:hAnsi="Arial"/>
          <w:b/>
          <w:bCs/>
          <w:color w:val="1F4E79"/>
          <w:sz w:val="28"/>
          <w:szCs w:val="28"/>
        </w:rPr>
        <w:t>Document 3 — Model Risk Register</w:t>
      </w:r>
    </w:p>
    <w:p>
      <w:pPr>
        <w:spacing w:after="100"/>
      </w:pPr>
      <w:r>
        <w:rPr>
          <w:rFonts w:ascii="Arial" w:cs="Arial" w:eastAsia="Arial" w:hAnsi="Arial"/>
          <w:sz w:val="20"/>
          <w:szCs w:val="20"/>
        </w:rPr>
        <w:t xml:space="preserve">The model risk register documents all AI models and tools in production. It must be maintained continuously.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1200"/>
        <w:gridCol w:w="900"/>
        <w:gridCol w:w="1200"/>
        <w:gridCol w:w="1100"/>
        <w:gridCol w:w="1100"/>
        <w:gridCol w:w="1200"/>
        <w:gridCol w:w="1760"/>
      </w:tblGrid>
      <w:tr>
        <w:trPr>
          <w:tblHeader/>
        </w:trPr>
        <w:tc>
          <w:tcPr>
            <w:tcW w:type="dxa" w:w="9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Model ID</w:t>
            </w:r>
          </w:p>
        </w:tc>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Tool/Model</w:t>
            </w:r>
          </w:p>
        </w:tc>
        <w:tc>
          <w:tcPr>
            <w:tcW w:type="dxa" w:w="9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Version</w:t>
            </w:r>
          </w:p>
        </w:tc>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Use Case</w:t>
            </w:r>
          </w:p>
        </w:tc>
        <w:tc>
          <w:tcPr>
            <w:tcW w:type="dxa" w:w="11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EU AI Act
Class</w:t>
            </w:r>
          </w:p>
        </w:tc>
        <w:tc>
          <w:tcPr>
            <w:tcW w:type="dxa" w:w="11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Validated by</w:t>
            </w:r>
          </w:p>
        </w:tc>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Validation
Date</w:t>
            </w:r>
          </w:p>
        </w:tc>
        <w:tc>
          <w:tcPr>
            <w:tcW w:type="dxa" w:w="17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Status / Risk Note</w:t>
            </w:r>
          </w:p>
        </w:tc>
      </w:tr>
      <w:tr>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M-001</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ChatGPT Teams</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GPT-4o</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Variance Analysis</w:t>
            </w:r>
          </w:p>
        </w:tc>
        <w:tc>
          <w:tcPr>
            <w:tcW w:type="dxa" w:w="11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Minimal Risk</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 xml:space="preserve">[Name] Controller</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[Date]</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Active | DPA available | Internal</w:t>
            </w:r>
          </w:p>
        </w:tc>
      </w:tr>
      <w:tr>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M-002</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M365 Copilot</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Copilot 365</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Excel analysis, summaries</w:t>
            </w:r>
          </w:p>
        </w:tc>
        <w:tc>
          <w:tcPr>
            <w:tcW w:type="dxa" w:w="11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Minimal Risk</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 xml:space="preserve">[Name] IT</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[Date]</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Active | M365 tenant | Internal</w:t>
            </w:r>
          </w:p>
        </w:tc>
      </w:tr>
      <w:tr>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M-003</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Azure OpenAI</w:t>
            </w:r>
          </w:p>
        </w:tc>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GPT-4o (EU)</w:t>
            </w:r>
          </w:p>
        </w:tc>
        <w:tc>
          <w:tcPr>
            <w:tcW w:type="dxa" w:w="1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RAG: Contract Review</w:t>
            </w:r>
          </w:p>
        </w:tc>
        <w:tc>
          <w:tcPr>
            <w:tcW w:type="dxa" w:w="11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Minimal Risk</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 xml:space="preserve">[Name] IT-Security</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[Date]</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Active | EU tenant | Confidential</w:t>
            </w:r>
          </w:p>
        </w:tc>
      </w:tr>
      <w:tr>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M-004</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[Enter tool]</w:t>
            </w:r>
          </w:p>
        </w:tc>
        <w:tc>
          <w:tcPr>
            <w:tcW w:type="dxa" w:w="9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[Version]</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[Use case]</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[Class]</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[Name]</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[Date]</w:t>
            </w:r>
          </w:p>
        </w:tc>
        <w:tc>
          <w:tcPr>
            <w:tcW w:type="dxa" w:w="176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[Status]</w:t>
            </w:r>
          </w:p>
        </w:tc>
      </w:tr>
      <w:tr>
        <w:tc>
          <w:tcPr>
            <w:tcW w:type="dxa" w:w="9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0"/>
            </w:pPr>
            <w:r>
              <w:rPr>
                <w:rFonts w:ascii="Arial" w:cs="Arial" w:eastAsia="Arial" w:hAnsi="Arial"/>
                <w:i w:val="false"/>
                <w:iCs w:val="false"/>
                <w:sz w:val="16"/>
                <w:szCs w:val="16"/>
              </w:rPr>
              <w:t xml:space="preserve">M-005</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[Enter tool]</w:t>
            </w:r>
          </w:p>
        </w:tc>
        <w:tc>
          <w:tcPr>
            <w:tcW w:type="dxa" w:w="9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[Version]</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[Use case]</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[Class]</w:t>
            </w:r>
          </w:p>
        </w:tc>
        <w:tc>
          <w:tcPr>
            <w:tcW w:type="dxa" w:w="11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[Name]</w:t>
            </w:r>
          </w:p>
        </w:tc>
        <w:tc>
          <w:tcPr>
            <w:tcW w:type="dxa" w:w="120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[Date]</w:t>
            </w:r>
          </w:p>
        </w:tc>
        <w:tc>
          <w:tcPr>
            <w:tcW w:type="dxa" w:w="1760"/>
            <w:tcBorders>
              <w:top w:val="single" w:color="CCCCCC" w:sz="1"/>
              <w:left w:val="single" w:color="CCCCCC" w:sz="1"/>
              <w:bottom w:val="single" w:color="CCCCCC" w:sz="1"/>
              <w:right w:val="single" w:color="CCCCCC" w:sz="1"/>
            </w:tcBorders>
            <w:shd w:fill="FFFF00" w:val="clear"/>
            <w:tcMar>
              <w:top w:type="dxa" w:w="60"/>
              <w:left w:type="dxa" w:w="100"/>
              <w:bottom w:type="dxa" w:w="60"/>
              <w:right w:type="dxa" w:w="100"/>
            </w:tcMar>
          </w:tcPr>
          <w:p>
            <w:pPr>
              <w:spacing w:after="0"/>
            </w:pPr>
            <w:r>
              <w:rPr>
                <w:rFonts w:ascii="Arial" w:cs="Arial" w:eastAsia="Arial" w:hAnsi="Arial"/>
                <w:i/>
                <w:iCs/>
                <w:sz w:val="16"/>
                <w:szCs w:val="16"/>
              </w:rPr>
              <w:t>[Status]</w:t>
            </w:r>
          </w:p>
        </w:tc>
      </w:tr>
    </w:tbl>
    <w:p>
      <w:pPr>
        <w:spacing w:after="200"/>
      </w:pPr>
    </w:p>
    <w:p>
      <w:pPr>
        <w:pStyle w:val="Heading1"/>
        <w:pBdr>
          <w:bottom w:val="single" w:color="2E75B6" w:sz="6" w:space="1"/>
        </w:pBdr>
        <w:spacing w:before="280" w:after="140"/>
      </w:pPr>
      <w:r>
        <w:rPr>
          <w:rFonts w:ascii="Arial" w:cs="Arial" w:eastAsia="Arial" w:hAnsi="Arial"/>
          <w:b/>
          <w:bCs/>
          <w:color w:val="1F4E79"/>
          <w:sz w:val="28"/>
          <w:szCs w:val="28"/>
        </w:rPr>
        <w:t>Document 4 — SoD Matrix AI Workflows</w:t>
      </w:r>
    </w:p>
    <w:p>
      <w:pPr>
        <w:spacing w:after="100"/>
      </w:pPr>
      <w:r>
        <w:rPr>
          <w:rFonts w:ascii="Arial" w:cs="Arial" w:eastAsia="Arial" w:hAnsi="Arial"/>
          <w:sz w:val="20"/>
          <w:szCs w:val="20"/>
        </w:rPr>
        <w:t xml:space="preserve">Segregation of Duties (SoD) ensures that no single person is responsible for an AI workflow from creation to production 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700"/>
        <w:gridCol w:w="1700"/>
        <w:gridCol w:w="1780"/>
        <w:gridCol w:w="1980"/>
      </w:tblGrid>
      <w:tr>
        <w:trPr>
          <w:tblHeader/>
        </w:trPr>
        <w:tc>
          <w:tcPr>
            <w:tcW w:type="dxa" w:w="2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AI Workflow</w:t>
            </w:r>
          </w:p>
        </w:tc>
        <w:tc>
          <w:tcPr>
            <w:tcW w:type="dxa" w:w="17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Creator (Prompt)</w:t>
            </w:r>
          </w:p>
        </w:tc>
        <w:tc>
          <w:tcPr>
            <w:tcW w:type="dxa" w:w="17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Reviewer / Tester</w:t>
            </w:r>
          </w:p>
        </w:tc>
        <w:tc>
          <w:tcPr>
            <w:tcW w:type="dxa" w:w="17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Release (Production)</w:t>
            </w:r>
          </w:p>
        </w:tc>
        <w:tc>
          <w:tcPr>
            <w:tcW w:type="dxa" w:w="19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Monitor (Ongoing Operation)</w:t>
            </w:r>
          </w:p>
        </w:tc>
      </w:tr>
      <w:tr>
        <w:tc>
          <w:tcPr>
            <w:tcW w:type="dxa" w:w="2200"/>
            <w:tcBorders>
              <w:top w:val="single" w:color="CCCCCC" w:sz="1"/>
              <w:left w:val="single" w:color="CCCCCC" w:sz="1"/>
              <w:bottom w:val="single" w:color="CCCCCC" w:sz="1"/>
              <w:right w:val="single" w:color="CCCCCC" w:sz="1"/>
            </w:tcBorders>
            <w:tcMar>
              <w:top w:type="dxa" w:w="80"/>
              <w:left w:type="dxa" w:w="100"/>
              <w:bottom w:type="dxa" w:w="80"/>
              <w:right w:type="dxa" w:w="100"/>
            </w:tcMar>
          </w:tcPr>
          <w:p>
            <w:pPr>
              <w:spacing w:after="0"/>
            </w:pPr>
            <w:r>
              <w:rPr>
                <w:rFonts w:ascii="Arial" w:cs="Arial" w:eastAsia="Arial" w:hAnsi="Arial"/>
                <w:b/>
                <w:bCs/>
                <w:i w:val="false"/>
                <w:iCs w:val="false"/>
                <w:sz w:val="18"/>
                <w:szCs w:val="18"/>
              </w:rPr>
              <w:t xml:space="preserve">AP Automation: Booking Text</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Controller</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Senior Controller</w:t>
            </w:r>
          </w:p>
        </w:tc>
        <w:tc>
          <w:tcPr>
            <w:tcW w:type="dxa" w:w="17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Finance Manager</w:t>
            </w:r>
          </w:p>
        </w:tc>
        <w:tc>
          <w:tcPr>
            <w:tcW w:type="dxa" w:w="19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Controller + IT</w:t>
            </w:r>
          </w:p>
        </w:tc>
      </w:tr>
      <w:tr>
        <w:tc>
          <w:tcPr>
            <w:tcW w:type="dxa" w:w="2200"/>
            <w:tcBorders>
              <w:top w:val="single" w:color="CCCCCC" w:sz="1"/>
              <w:left w:val="single" w:color="CCCCCC" w:sz="1"/>
              <w:bottom w:val="single" w:color="CCCCCC" w:sz="1"/>
              <w:right w:val="single" w:color="CCCCCC" w:sz="1"/>
            </w:tcBorders>
            <w:tcMar>
              <w:top w:type="dxa" w:w="80"/>
              <w:left w:type="dxa" w:w="100"/>
              <w:bottom w:type="dxa" w:w="80"/>
              <w:right w:type="dxa" w:w="100"/>
            </w:tcMar>
          </w:tcPr>
          <w:p>
            <w:pPr>
              <w:spacing w:after="0"/>
            </w:pPr>
            <w:r>
              <w:rPr>
                <w:rFonts w:ascii="Arial" w:cs="Arial" w:eastAsia="Arial" w:hAnsi="Arial"/>
                <w:b/>
                <w:bCs/>
                <w:i w:val="false"/>
                <w:iCs w:val="false"/>
                <w:sz w:val="18"/>
                <w:szCs w:val="18"/>
              </w:rPr>
              <w:t xml:space="preserve">Cash Forecast Commentary</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FP&amp;A-Analyst</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FP&amp;A-Lead</w:t>
            </w:r>
          </w:p>
        </w:tc>
        <w:tc>
          <w:tcPr>
            <w:tcW w:type="dxa" w:w="17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CFO / Finance Manager</w:t>
            </w:r>
          </w:p>
        </w:tc>
        <w:tc>
          <w:tcPr>
            <w:tcW w:type="dxa" w:w="19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FP&amp;A-Lead</w:t>
            </w:r>
          </w:p>
        </w:tc>
      </w:tr>
      <w:tr>
        <w:tc>
          <w:tcPr>
            <w:tcW w:type="dxa" w:w="2200"/>
            <w:tcBorders>
              <w:top w:val="single" w:color="CCCCCC" w:sz="1"/>
              <w:left w:val="single" w:color="CCCCCC" w:sz="1"/>
              <w:bottom w:val="single" w:color="CCCCCC" w:sz="1"/>
              <w:right w:val="single" w:color="CCCCCC" w:sz="1"/>
            </w:tcBorders>
            <w:tcMar>
              <w:top w:type="dxa" w:w="80"/>
              <w:left w:type="dxa" w:w="100"/>
              <w:bottom w:type="dxa" w:w="80"/>
              <w:right w:type="dxa" w:w="100"/>
            </w:tcMar>
          </w:tcPr>
          <w:p>
            <w:pPr>
              <w:spacing w:after="0"/>
            </w:pPr>
            <w:r>
              <w:rPr>
                <w:rFonts w:ascii="Arial" w:cs="Arial" w:eastAsia="Arial" w:hAnsi="Arial"/>
                <w:b/>
                <w:bCs/>
                <w:i w:val="false"/>
                <w:iCs w:val="false"/>
                <w:sz w:val="18"/>
                <w:szCs w:val="18"/>
              </w:rPr>
              <w:t xml:space="preserve">Variance Analysis Report</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Controller</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Finance Manager</w:t>
            </w:r>
          </w:p>
        </w:tc>
        <w:tc>
          <w:tcPr>
            <w:tcW w:type="dxa" w:w="17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Finance Manager</w:t>
            </w:r>
          </w:p>
        </w:tc>
        <w:tc>
          <w:tcPr>
            <w:tcW w:type="dxa" w:w="19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Controller</w:t>
            </w:r>
          </w:p>
        </w:tc>
      </w:tr>
      <w:tr>
        <w:tc>
          <w:tcPr>
            <w:tcW w:type="dxa" w:w="2200"/>
            <w:tcBorders>
              <w:top w:val="single" w:color="CCCCCC" w:sz="1"/>
              <w:left w:val="single" w:color="CCCCCC" w:sz="1"/>
              <w:bottom w:val="single" w:color="CCCCCC" w:sz="1"/>
              <w:right w:val="single" w:color="CCCCCC" w:sz="1"/>
            </w:tcBorders>
            <w:tcMar>
              <w:top w:type="dxa" w:w="80"/>
              <w:left w:type="dxa" w:w="100"/>
              <w:bottom w:type="dxa" w:w="80"/>
              <w:right w:type="dxa" w:w="100"/>
            </w:tcMar>
          </w:tcPr>
          <w:p>
            <w:pPr>
              <w:spacing w:after="0"/>
            </w:pPr>
            <w:r>
              <w:rPr>
                <w:rFonts w:ascii="Arial" w:cs="Arial" w:eastAsia="Arial" w:hAnsi="Arial"/>
                <w:b/>
                <w:bCs/>
                <w:i w:val="false"/>
                <w:iCs w:val="false"/>
                <w:sz w:val="18"/>
                <w:szCs w:val="18"/>
              </w:rPr>
              <w:t xml:space="preserve">RAG: Contract Review</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Treasury/Controller</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Legal + Controller</w:t>
            </w:r>
          </w:p>
        </w:tc>
        <w:tc>
          <w:tcPr>
            <w:tcW w:type="dxa" w:w="17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CFO</w:t>
            </w:r>
          </w:p>
        </w:tc>
        <w:tc>
          <w:tcPr>
            <w:tcW w:type="dxa" w:w="19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IT + Controller</w:t>
            </w:r>
          </w:p>
        </w:tc>
      </w:tr>
      <w:tr>
        <w:tc>
          <w:tcPr>
            <w:tcW w:type="dxa" w:w="2200"/>
            <w:tcBorders>
              <w:top w:val="single" w:color="CCCCCC" w:sz="1"/>
              <w:left w:val="single" w:color="CCCCCC" w:sz="1"/>
              <w:bottom w:val="single" w:color="CCCCCC" w:sz="1"/>
              <w:right w:val="single" w:color="CCCCCC" w:sz="1"/>
            </w:tcBorders>
            <w:tcMar>
              <w:top w:type="dxa" w:w="80"/>
              <w:left w:type="dxa" w:w="100"/>
              <w:bottom w:type="dxa" w:w="80"/>
              <w:right w:type="dxa" w:w="100"/>
            </w:tcMar>
          </w:tcPr>
          <w:p>
            <w:pPr>
              <w:spacing w:after="0"/>
            </w:pPr>
            <w:r>
              <w:rPr>
                <w:rFonts w:ascii="Arial" w:cs="Arial" w:eastAsia="Arial" w:hAnsi="Arial"/>
                <w:b/>
                <w:bCs/>
                <w:i w:val="false"/>
                <w:iCs w:val="false"/>
                <w:sz w:val="18"/>
                <w:szCs w:val="18"/>
              </w:rPr>
              <w:t xml:space="preserve">CSRD Narrative (ESG)</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Sustainability Manager</w:t>
            </w:r>
          </w:p>
        </w:tc>
        <w:tc>
          <w:tcPr>
            <w:tcW w:type="dxa" w:w="170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Legal / Sustainability</w:t>
            </w:r>
          </w:p>
        </w:tc>
        <w:tc>
          <w:tcPr>
            <w:tcW w:type="dxa" w:w="17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CFO</w:t>
            </w:r>
          </w:p>
        </w:tc>
        <w:tc>
          <w:tcPr>
            <w:tcW w:type="dxa" w:w="1980"/>
            <w:tcBorders>
              <w:top w:val="single" w:color="CCCCCC" w:sz="1"/>
              <w:left w:val="single" w:color="CCCCCC" w:sz="1"/>
              <w:bottom w:val="single" w:color="CCCCCC" w:sz="1"/>
              <w:right w:val="single" w:color="CCCCCC" w:sz="1"/>
            </w:tcBorders>
            <w:shd w:fill="F8F8F8" w:val="clear"/>
            <w:tcMar>
              <w:top w:type="dxa" w:w="80"/>
              <w:left w:type="dxa" w:w="100"/>
              <w:bottom w:type="dxa" w:w="80"/>
              <w:right w:type="dxa" w:w="100"/>
            </w:tcMar>
          </w:tcPr>
          <w:p>
            <w:pPr>
              <w:spacing w:after="0"/>
            </w:pPr>
            <w:r>
              <w:rPr>
                <w:rFonts w:ascii="Arial" w:cs="Arial" w:eastAsia="Arial" w:hAnsi="Arial"/>
                <w:b w:val="false"/>
                <w:bCs w:val="false"/>
                <w:i w:val="false"/>
                <w:iCs w:val="false"/>
                <w:sz w:val="18"/>
                <w:szCs w:val="18"/>
              </w:rPr>
              <w:t xml:space="preserve">Sustainability + Finance</w:t>
            </w:r>
          </w:p>
        </w:tc>
      </w:tr>
      <w:tr>
        <w:tc>
          <w:tcPr>
            <w:tcW w:type="dxa" w:w="2200"/>
            <w:tcBorders>
              <w:top w:val="single" w:color="CCCCCC" w:sz="1"/>
              <w:left w:val="single" w:color="CCCCCC" w:sz="1"/>
              <w:bottom w:val="single" w:color="CCCCCC" w:sz="1"/>
              <w:right w:val="single" w:color="CCCCCC" w:sz="1"/>
            </w:tcBorders>
            <w:shd w:fill="FFFF00" w:val="clear"/>
            <w:tcMar>
              <w:top w:type="dxa" w:w="80"/>
              <w:left w:type="dxa" w:w="100"/>
              <w:bottom w:type="dxa" w:w="80"/>
              <w:right w:type="dxa" w:w="100"/>
            </w:tcMar>
          </w:tcPr>
          <w:p>
            <w:pPr>
              <w:spacing w:after="0"/>
            </w:pPr>
            <w:r>
              <w:rPr>
                <w:rFonts w:ascii="Arial" w:cs="Arial" w:eastAsia="Arial" w:hAnsi="Arial"/>
                <w:b/>
                <w:bCs/>
                <w:i/>
                <w:iCs/>
                <w:sz w:val="18"/>
                <w:szCs w:val="18"/>
              </w:rPr>
              <w:t>[Own use case]</w:t>
            </w:r>
          </w:p>
        </w:tc>
        <w:tc>
          <w:tcPr>
            <w:tcW w:type="dxa" w:w="1700"/>
            <w:tcBorders>
              <w:top w:val="single" w:color="CCCCCC" w:sz="1"/>
              <w:left w:val="single" w:color="CCCCCC" w:sz="1"/>
              <w:bottom w:val="single" w:color="CCCCCC" w:sz="1"/>
              <w:right w:val="single" w:color="CCCCCC" w:sz="1"/>
            </w:tcBorders>
            <w:shd w:fill="FFFF00" w:val="clear"/>
            <w:tcMar>
              <w:top w:type="dxa" w:w="80"/>
              <w:left w:type="dxa" w:w="100"/>
              <w:bottom w:type="dxa" w:w="80"/>
              <w:right w:type="dxa" w:w="100"/>
            </w:tcMar>
          </w:tcPr>
          <w:p>
            <w:pPr>
              <w:spacing w:after="0"/>
            </w:pPr>
            <w:r>
              <w:rPr>
                <w:rFonts w:ascii="Arial" w:cs="Arial" w:eastAsia="Arial" w:hAnsi="Arial"/>
                <w:b w:val="false"/>
                <w:bCs w:val="false"/>
                <w:i/>
                <w:iCs/>
                <w:sz w:val="18"/>
                <w:szCs w:val="18"/>
              </w:rPr>
              <w:t>[Creator]</w:t>
            </w:r>
          </w:p>
        </w:tc>
        <w:tc>
          <w:tcPr>
            <w:tcW w:type="dxa" w:w="1700"/>
            <w:tcBorders>
              <w:top w:val="single" w:color="CCCCCC" w:sz="1"/>
              <w:left w:val="single" w:color="CCCCCC" w:sz="1"/>
              <w:bottom w:val="single" w:color="CCCCCC" w:sz="1"/>
              <w:right w:val="single" w:color="CCCCCC" w:sz="1"/>
            </w:tcBorders>
            <w:shd w:fill="FFFF00" w:val="clear"/>
            <w:tcMar>
              <w:top w:type="dxa" w:w="80"/>
              <w:left w:type="dxa" w:w="100"/>
              <w:bottom w:type="dxa" w:w="80"/>
              <w:right w:type="dxa" w:w="100"/>
            </w:tcMar>
          </w:tcPr>
          <w:p>
            <w:pPr>
              <w:spacing w:after="0"/>
            </w:pPr>
            <w:r>
              <w:rPr>
                <w:rFonts w:ascii="Arial" w:cs="Arial" w:eastAsia="Arial" w:hAnsi="Arial"/>
                <w:b w:val="false"/>
                <w:bCs w:val="false"/>
                <w:i/>
                <w:iCs/>
                <w:sz w:val="18"/>
                <w:szCs w:val="18"/>
              </w:rPr>
              <w:t>[Reviewer]</w:t>
            </w:r>
          </w:p>
        </w:tc>
        <w:tc>
          <w:tcPr>
            <w:tcW w:type="dxa" w:w="1780"/>
            <w:tcBorders>
              <w:top w:val="single" w:color="CCCCCC" w:sz="1"/>
              <w:left w:val="single" w:color="CCCCCC" w:sz="1"/>
              <w:bottom w:val="single" w:color="CCCCCC" w:sz="1"/>
              <w:right w:val="single" w:color="CCCCCC" w:sz="1"/>
            </w:tcBorders>
            <w:shd w:fill="FFFF00" w:val="clear"/>
            <w:tcMar>
              <w:top w:type="dxa" w:w="80"/>
              <w:left w:type="dxa" w:w="100"/>
              <w:bottom w:type="dxa" w:w="80"/>
              <w:right w:type="dxa" w:w="100"/>
            </w:tcMar>
          </w:tcPr>
          <w:p>
            <w:pPr>
              <w:spacing w:after="0"/>
            </w:pPr>
            <w:r>
              <w:rPr>
                <w:rFonts w:ascii="Arial" w:cs="Arial" w:eastAsia="Arial" w:hAnsi="Arial"/>
                <w:b w:val="false"/>
                <w:bCs w:val="false"/>
                <w:i/>
                <w:iCs/>
                <w:sz w:val="18"/>
                <w:szCs w:val="18"/>
              </w:rPr>
              <w:t>[Release]</w:t>
            </w:r>
          </w:p>
        </w:tc>
        <w:tc>
          <w:tcPr>
            <w:tcW w:type="dxa" w:w="1980"/>
            <w:tcBorders>
              <w:top w:val="single" w:color="CCCCCC" w:sz="1"/>
              <w:left w:val="single" w:color="CCCCCC" w:sz="1"/>
              <w:bottom w:val="single" w:color="CCCCCC" w:sz="1"/>
              <w:right w:val="single" w:color="CCCCCC" w:sz="1"/>
            </w:tcBorders>
            <w:shd w:fill="FFFF00" w:val="clear"/>
            <w:tcMar>
              <w:top w:type="dxa" w:w="80"/>
              <w:left w:type="dxa" w:w="100"/>
              <w:bottom w:type="dxa" w:w="80"/>
              <w:right w:type="dxa" w:w="100"/>
            </w:tcMar>
          </w:tcPr>
          <w:p>
            <w:pPr>
              <w:spacing w:after="0"/>
            </w:pPr>
            <w:r>
              <w:rPr>
                <w:rFonts w:ascii="Arial" w:cs="Arial" w:eastAsia="Arial" w:hAnsi="Arial"/>
                <w:b w:val="false"/>
                <w:bCs w:val="false"/>
                <w:i/>
                <w:iCs/>
                <w:sz w:val="18"/>
                <w:szCs w:val="18"/>
              </w:rPr>
              <w:t>[Monitor]</w:t>
            </w:r>
          </w:p>
        </w:tc>
      </w:tr>
    </w:tbl>
    <w:p>
      <w:pPr>
        <w:spacing w:after="200"/>
      </w:pPr>
    </w:p>
    <w:p>
      <w:pPr>
        <w:pStyle w:val="Heading1"/>
        <w:pBdr>
          <w:bottom w:val="single" w:color="2E75B6" w:sz="6" w:space="1"/>
        </w:pBdr>
        <w:spacing w:before="280" w:after="140"/>
      </w:pPr>
      <w:r>
        <w:rPr>
          <w:rFonts w:ascii="Arial" w:cs="Arial" w:eastAsia="Arial" w:hAnsi="Arial"/>
          <w:b/>
          <w:bCs/>
          <w:color w:val="1F4E79"/>
          <w:sz w:val="28"/>
          <w:szCs w:val="28"/>
        </w:rPr>
        <w:t>Document 5 — AI Literacy Proof (EU AI Act Art. 4)</w:t>
      </w:r>
    </w:p>
    <w:p>
      <w:pPr>
        <w:spacing w:after="100"/>
      </w:pPr>
      <w:r>
        <w:rPr>
          <w:rFonts w:ascii="Arial" w:cs="Arial" w:eastAsia="Arial" w:hAnsi="Arial"/>
          <w:sz w:val="20"/>
          <w:szCs w:val="20"/>
        </w:rPr>
        <w:t xml:space="preserve">This form serves as proof of compliance with the AI literacy requirement under Article 4 of the EU AI Act (effective since 02.02.2025).</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Item</w:t>
            </w:r>
          </w:p>
        </w:tc>
        <w:tc>
          <w:tcPr>
            <w:tcW w:type="dxa" w:w="58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pPr>
              <w:spacing w:after="0"/>
            </w:pPr>
            <w:r>
              <w:rPr>
                <w:rFonts w:ascii="Arial" w:cs="Arial" w:eastAsia="Arial" w:hAnsi="Arial"/>
                <w:b/>
                <w:bCs/>
                <w:color w:val="FFFFFF"/>
                <w:sz w:val="18"/>
                <w:szCs w:val="18"/>
              </w:rPr>
              <w:t xml:space="preserve">Content</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Training Title</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val="false"/>
                <w:iCs w:val="false"/>
                <w:sz w:val="18"/>
                <w:szCs w:val="18"/>
              </w:rPr>
              <w:t xml:space="preserve">Digital Finance Masterclass: AI and Automation for Finance Professionals</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Number of Modules / Topics</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val="false"/>
                <w:iCs w:val="false"/>
                <w:sz w:val="18"/>
                <w:szCs w:val="18"/>
              </w:rPr>
              <w:t>5 modules: Prompt Engineering, Data Analytics, Virtual Finance Team, Accounting/Treasury Ops, Strategy &amp; Governance</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Training Date</w:t>
            </w:r>
          </w:p>
        </w:tc>
        <w:tc>
          <w:tcPr>
            <w:tcW w:type="dxa" w:w="5860"/>
            <w:tcBorders>
              <w:top w:val="single" w:color="CCCCCC" w:sz="1"/>
              <w:left w:val="single" w:color="CCCCCC" w:sz="1"/>
              <w:bottom w:val="single" w:color="CCCCCC" w:sz="1"/>
              <w:right w:val="single" w:color="CCCCCC" w:sz="1"/>
            </w:tcBorders>
            <w:shd w:fill="FFFF00" w:val="clear"/>
            <w:tcMar>
              <w:top w:type="dxa" w:w="80"/>
              <w:left w:type="dxa" w:w="120"/>
              <w:bottom w:type="dxa" w:w="80"/>
              <w:right w:type="dxa" w:w="120"/>
            </w:tcMar>
          </w:tcPr>
          <w:p>
            <w:pPr>
              <w:spacing w:after="0"/>
            </w:pPr>
            <w:r>
              <w:rPr>
                <w:rFonts w:ascii="Arial" w:cs="Arial" w:eastAsia="Arial" w:hAnsi="Arial"/>
                <w:i/>
                <w:iCs/>
                <w:sz w:val="18"/>
                <w:szCs w:val="18"/>
              </w:rPr>
              <w:t xml:space="preserve">[ENTER DATE]</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Training Location / Format</w:t>
            </w:r>
          </w:p>
        </w:tc>
        <w:tc>
          <w:tcPr>
            <w:tcW w:type="dxa" w:w="5860"/>
            <w:tcBorders>
              <w:top w:val="single" w:color="CCCCCC" w:sz="1"/>
              <w:left w:val="single" w:color="CCCCCC" w:sz="1"/>
              <w:bottom w:val="single" w:color="CCCCCC" w:sz="1"/>
              <w:right w:val="single" w:color="CCCCCC" w:sz="1"/>
            </w:tcBorders>
            <w:shd w:fill="FFFF00" w:val="clear"/>
            <w:tcMar>
              <w:top w:type="dxa" w:w="80"/>
              <w:left w:type="dxa" w:w="120"/>
              <w:bottom w:type="dxa" w:w="80"/>
              <w:right w:type="dxa" w:w="120"/>
            </w:tcMar>
          </w:tcPr>
          <w:p>
            <w:pPr>
              <w:spacing w:after="0"/>
            </w:pPr>
            <w:r>
              <w:rPr>
                <w:rFonts w:ascii="Arial" w:cs="Arial" w:eastAsia="Arial" w:hAnsi="Arial"/>
                <w:i/>
                <w:iCs/>
                <w:sz w:val="18"/>
                <w:szCs w:val="18"/>
              </w:rPr>
              <w:t xml:space="preserve">[ENTER IN-PERSON / ONLINE / HYBRID]</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Trainer / Organizer</w:t>
            </w:r>
          </w:p>
        </w:tc>
        <w:tc>
          <w:tcPr>
            <w:tcW w:type="dxa" w:w="5860"/>
            <w:tcBorders>
              <w:top w:val="single" w:color="CCCCCC" w:sz="1"/>
              <w:left w:val="single" w:color="CCCCCC" w:sz="1"/>
              <w:bottom w:val="single" w:color="CCCCCC" w:sz="1"/>
              <w:right w:val="single" w:color="CCCCCC" w:sz="1"/>
            </w:tcBorders>
            <w:shd w:fill="FFFF00" w:val="clear"/>
            <w:tcMar>
              <w:top w:type="dxa" w:w="80"/>
              <w:left w:type="dxa" w:w="120"/>
              <w:bottom w:type="dxa" w:w="80"/>
              <w:right w:type="dxa" w:w="120"/>
            </w:tcMar>
          </w:tcPr>
          <w:p>
            <w:pPr>
              <w:spacing w:after="0"/>
            </w:pPr>
            <w:r>
              <w:rPr>
                <w:rFonts w:ascii="Arial" w:cs="Arial" w:eastAsia="Arial" w:hAnsi="Arial"/>
                <w:i/>
                <w:iCs/>
                <w:sz w:val="18"/>
                <w:szCs w:val="18"/>
              </w:rPr>
              <w:t xml:space="preserve">[ENTER NAME, ORGANIZATION]</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Duration (Hours)</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val="false"/>
                <w:iCs w:val="false"/>
                <w:sz w:val="18"/>
                <w:szCs w:val="18"/>
              </w:rPr>
              <w:t xml:space="preserve">20 units (5 × 4 hours)</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Participant Name</w:t>
            </w:r>
          </w:p>
        </w:tc>
        <w:tc>
          <w:tcPr>
            <w:tcW w:type="dxa" w:w="5860"/>
            <w:tcBorders>
              <w:top w:val="single" w:color="CCCCCC" w:sz="1"/>
              <w:left w:val="single" w:color="CCCCCC" w:sz="1"/>
              <w:bottom w:val="single" w:color="CCCCCC" w:sz="1"/>
              <w:right w:val="single" w:color="CCCCCC" w:sz="1"/>
            </w:tcBorders>
            <w:shd w:fill="FFFF00" w:val="clear"/>
            <w:tcMar>
              <w:top w:type="dxa" w:w="80"/>
              <w:left w:type="dxa" w:w="120"/>
              <w:bottom w:type="dxa" w:w="80"/>
              <w:right w:type="dxa" w:w="120"/>
            </w:tcMar>
          </w:tcPr>
          <w:p>
            <w:pPr>
              <w:spacing w:after="0"/>
            </w:pPr>
            <w:r>
              <w:rPr>
                <w:rFonts w:ascii="Arial" w:cs="Arial" w:eastAsia="Arial" w:hAnsi="Arial"/>
                <w:i/>
                <w:iCs/>
                <w:sz w:val="18"/>
                <w:szCs w:val="18"/>
              </w:rPr>
              <w:t xml:space="preserve">[ENTER FIRST NAME LAST NAME]</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Function</w:t>
            </w:r>
          </w:p>
        </w:tc>
        <w:tc>
          <w:tcPr>
            <w:tcW w:type="dxa" w:w="5860"/>
            <w:tcBorders>
              <w:top w:val="single" w:color="CCCCCC" w:sz="1"/>
              <w:left w:val="single" w:color="CCCCCC" w:sz="1"/>
              <w:bottom w:val="single" w:color="CCCCCC" w:sz="1"/>
              <w:right w:val="single" w:color="CCCCCC" w:sz="1"/>
            </w:tcBorders>
            <w:shd w:fill="FFFF00" w:val="clear"/>
            <w:tcMar>
              <w:top w:type="dxa" w:w="80"/>
              <w:left w:type="dxa" w:w="120"/>
              <w:bottom w:type="dxa" w:w="80"/>
              <w:right w:type="dxa" w:w="120"/>
            </w:tcMar>
          </w:tcPr>
          <w:p>
            <w:pPr>
              <w:spacing w:after="0"/>
            </w:pPr>
            <w:r>
              <w:rPr>
                <w:rFonts w:ascii="Arial" w:cs="Arial" w:eastAsia="Arial" w:hAnsi="Arial"/>
                <w:i/>
                <w:iCs/>
                <w:sz w:val="18"/>
                <w:szCs w:val="18"/>
              </w:rPr>
              <w:t xml:space="preserve">[ENTER JOB TITLE]</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Company</w:t>
            </w:r>
          </w:p>
        </w:tc>
        <w:tc>
          <w:tcPr>
            <w:tcW w:type="dxa" w:w="5860"/>
            <w:tcBorders>
              <w:top w:val="single" w:color="CCCCCC" w:sz="1"/>
              <w:left w:val="single" w:color="CCCCCC" w:sz="1"/>
              <w:bottom w:val="single" w:color="CCCCCC" w:sz="1"/>
              <w:right w:val="single" w:color="CCCCCC" w:sz="1"/>
            </w:tcBorders>
            <w:shd w:fill="FFFF00" w:val="clear"/>
            <w:tcMar>
              <w:top w:type="dxa" w:w="80"/>
              <w:left w:type="dxa" w:w="120"/>
              <w:bottom w:type="dxa" w:w="80"/>
              <w:right w:type="dxa" w:w="120"/>
            </w:tcMar>
          </w:tcPr>
          <w:p>
            <w:pPr>
              <w:spacing w:after="0"/>
            </w:pPr>
            <w:r>
              <w:rPr>
                <w:rFonts w:ascii="Arial" w:cs="Arial" w:eastAsia="Arial" w:hAnsi="Arial"/>
                <w:i/>
                <w:iCs/>
                <w:sz w:val="18"/>
                <w:szCs w:val="18"/>
              </w:rPr>
              <w:t xml:space="preserve">[ENTER COMPANY]</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Confirmation</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val="false"/>
                <w:iCs w:val="false"/>
                <w:sz w:val="18"/>
                <w:szCs w:val="18"/>
              </w:rPr>
              <w:t xml:space="preserve">I confirm full participation in the above training.</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Participant Signature</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val="false"/>
                <w:iCs w:val="false"/>
                <w:sz w:val="18"/>
                <w:szCs w:val="18"/>
              </w:rPr>
              <w:t xml:space="preserve">_____________________________ Date: ___________</w:t>
            </w:r>
          </w:p>
        </w:tc>
      </w:tr>
      <w:tr>
        <w:tc>
          <w:tcPr>
            <w:tcW w:type="dxa" w:w="3500"/>
            <w:tcBorders>
              <w:top w:val="single" w:color="CCCCCC" w:sz="1"/>
              <w:left w:val="single" w:color="CCCCCC" w:sz="1"/>
              <w:bottom w:val="single" w:color="CCCCCC" w:sz="1"/>
              <w:right w:val="single" w:color="CCCCCC" w:sz="1"/>
            </w:tcBorders>
            <w:shd w:fill="BDD7EE" w:val="clear"/>
            <w:tcMar>
              <w:top w:type="dxa" w:w="80"/>
              <w:left w:type="dxa" w:w="120"/>
              <w:bottom w:type="dxa" w:w="80"/>
              <w:right w:type="dxa" w:w="120"/>
            </w:tcMar>
          </w:tcPr>
          <w:p>
            <w:pPr>
              <w:spacing w:after="0"/>
            </w:pPr>
            <w:r>
              <w:rPr>
                <w:rFonts w:ascii="Arial" w:cs="Arial" w:eastAsia="Arial" w:hAnsi="Arial"/>
                <w:b/>
                <w:bCs/>
                <w:sz w:val="18"/>
                <w:szCs w:val="18"/>
              </w:rPr>
              <w:t xml:space="preserve">Trainer Signature</w:t>
            </w:r>
          </w:p>
        </w:tc>
        <w:tc>
          <w:tcPr>
            <w:tcW w:type="dxa" w:w="58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i w:val="false"/>
                <w:iCs w:val="false"/>
                <w:sz w:val="18"/>
                <w:szCs w:val="18"/>
              </w:rPr>
              <w:t xml:space="preserve">_____________________________ Date: ___________</w:t>
            </w:r>
          </w:p>
        </w:tc>
      </w:tr>
    </w:tbl>
    <w:p>
      <w:pPr>
        <w:spacing w:after="14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BDD7EE" w:val="clear"/>
            <w:tcMar>
              <w:top w:type="dxa" w:w="120"/>
              <w:left w:type="dxa" w:w="160"/>
              <w:bottom w:type="dxa" w:w="120"/>
              <w:right w:type="dxa" w:w="160"/>
            </w:tcMar>
          </w:tcPr>
          <w:p>
            <w:pPr>
              <w:spacing w:after="0"/>
            </w:pPr>
            <w:r>
              <w:rPr>
                <w:rFonts w:ascii="Arial" w:cs="Arial" w:eastAsia="Arial" w:hAnsi="Arial"/>
                <w:i/>
                <w:iCs/>
                <w:sz w:val="18"/>
                <w:szCs w:val="18"/>
              </w:rPr>
              <w:t xml:space="preserve">Note: This document serves as proof according to EU AI Act Art. 4 (requirement for AI literacy, effective since 02.02.2025). Recommended for inclusion in personnel file. Retention period: minimum 5 years.</w:t>
            </w:r>
          </w:p>
        </w:tc>
      </w:tr>
    </w:tbl>
    <w:p>
      <w:pPr>
        <w:pStyle w:val="Heading1"/>
        <w:pageBreakBefore/>
      </w:pPr>
      <w:r>
        <w:t>Document 6 — Incident Response Template (AI Incident)</w:t>
      </w:r>
    </w:p>
    <w:p>
      <w:r>
        <w:rPr>
          <w:sz w:val="20"/>
        </w:rPr>
        <w:t>This template serves for structured documentation of AI incidents pursuant to EU AI Act Art. 62 and internal governance requirements. Every incident with an AI system of risk class "Minimal Risk" or higher must be documented.</w:t>
      </w:r>
    </w:p>
    <w:tbl>
      <w:tblPr>
        <w:tblStyle w:val="TableGrid"/>
        <w:tblW w:type="dxa" w:w="9360"/>
        <w:tblBorders>
          <w:top w:val="single" w:color="CCCCCC" w:sz="1"/>
          <w:left w:val="single" w:color="CCCCCC" w:sz="1"/>
          <w:bottom w:val="single" w:color="CCCCCC" w:sz="1"/>
          <w:right w:val="single" w:color="CCCCCC" w:sz="1"/>
          <w:insideH w:val="single" w:color="CCCCCC" w:sz="1"/>
          <w:insideV w:val="single" w:color="CCCCCC" w:sz="1"/>
        </w:tblBorders>
      </w:tblPr>
      <w:tblGrid>
        <w:gridCol w:w="3120"/>
        <w:gridCol w:w="6240"/>
      </w:tblGrid>
      <w:tr>
        <w:tc>
          <w:tcPr>
            <w:tcW w:type="dxa" w:w="3120"/>
          </w:tcPr>
          <w:p>
            <w:r>
              <w:rPr>
                <w:b/>
                <w:color w:val="FFFFFF"/>
                <w:sz w:val="20"/>
              </w:rPr>
              <w:t>Field</w:t>
            </w:r>
          </w:p>
        </w:tc>
        <w:tc>
          <w:tcPr>
            <w:tcW w:type="dxa" w:w="6240"/>
          </w:tcPr>
          <w:p>
            <w:r>
              <w:rPr>
                <w:b/>
                <w:color w:val="FFFFFF"/>
                <w:sz w:val="20"/>
              </w:rPr>
              <w:t>Content</w:t>
            </w:r>
          </w:p>
        </w:tc>
      </w:tr>
      <w:tr>
        <w:tc>
          <w:tcPr>
            <w:tcW w:type="dxa" w:w="3120"/>
          </w:tcPr>
          <w:p>
            <w:r>
              <w:rPr>
                <w:b/>
                <w:sz w:val="20"/>
              </w:rPr>
              <w:t>Incident ID</w:t>
            </w:r>
          </w:p>
        </w:tc>
        <w:tc>
          <w:tcPr>
            <w:tcW w:type="dxa" w:w="6240"/>
          </w:tcPr>
          <w:p>
            <w:r>
              <w:rPr>
                <w:sz w:val="20"/>
              </w:rPr>
              <w:t>[ENTER INC-YYYY-NNN]</w:t>
            </w:r>
          </w:p>
        </w:tc>
      </w:tr>
      <w:tr>
        <w:tc>
          <w:tcPr>
            <w:tcW w:type="dxa" w:w="3120"/>
          </w:tcPr>
          <w:p>
            <w:r>
              <w:rPr>
                <w:b/>
                <w:sz w:val="20"/>
              </w:rPr>
              <w:t>Date / Time of Incident</w:t>
            </w:r>
          </w:p>
        </w:tc>
        <w:tc>
          <w:tcPr>
            <w:tcW w:type="dxa" w:w="6240"/>
          </w:tcPr>
          <w:p>
            <w:r>
              <w:rPr>
                <w:sz w:val="20"/>
              </w:rPr>
              <w:t>[ENTER DATE AND TIME]</w:t>
            </w:r>
          </w:p>
        </w:tc>
      </w:tr>
      <w:tr>
        <w:tc>
          <w:tcPr>
            <w:tcW w:type="dxa" w:w="3120"/>
          </w:tcPr>
          <w:p>
            <w:r>
              <w:rPr>
                <w:b/>
                <w:sz w:val="20"/>
              </w:rPr>
              <w:t>Affected AI System</w:t>
            </w:r>
          </w:p>
        </w:tc>
        <w:tc>
          <w:tcPr>
            <w:tcW w:type="dxa" w:w="6240"/>
          </w:tcPr>
          <w:p>
            <w:r>
              <w:rPr>
                <w:sz w:val="20"/>
              </w:rPr>
              <w:t>[ENTER SYSTEM/TOOL, e.g., ChatGPT Teams, M365 Copilot, Finance-GPT]</w:t>
            </w:r>
          </w:p>
        </w:tc>
      </w:tr>
      <w:tr>
        <w:tc>
          <w:tcPr>
            <w:tcW w:type="dxa" w:w="3120"/>
          </w:tcPr>
          <w:p>
            <w:r>
              <w:rPr>
                <w:b/>
                <w:sz w:val="20"/>
              </w:rPr>
              <w:t>Risk Class (EU AI Act)</w:t>
            </w:r>
          </w:p>
        </w:tc>
        <w:tc>
          <w:tcPr>
            <w:tcW w:type="dxa" w:w="6240"/>
          </w:tcPr>
          <w:p>
            <w:r>
              <w:rPr>
                <w:sz w:val="20"/>
              </w:rPr>
              <w:t>[Minimal Risk / Limited Risk / High Risk SELECT]</w:t>
            </w:r>
          </w:p>
        </w:tc>
      </w:tr>
      <w:tr>
        <w:tc>
          <w:tcPr>
            <w:tcW w:type="dxa" w:w="3120"/>
          </w:tcPr>
          <w:p>
            <w:r>
              <w:rPr>
                <w:b/>
                <w:sz w:val="20"/>
              </w:rPr>
              <w:t>Description of Incident</w:t>
            </w:r>
          </w:p>
        </w:tc>
        <w:tc>
          <w:tcPr>
            <w:tcW w:type="dxa" w:w="6240"/>
          </w:tcPr>
          <w:p>
            <w:r>
              <w:rPr>
                <w:sz w:val="20"/>
              </w:rPr>
              <w:t>[WHAT HAPPENED? Hallucination, data leak, incorrect result, unauthorized data input, etc. ENTER]</w:t>
            </w:r>
          </w:p>
        </w:tc>
      </w:tr>
      <w:tr>
        <w:tc>
          <w:tcPr>
            <w:tcW w:type="dxa" w:w="3120"/>
          </w:tcPr>
          <w:p>
            <w:r>
              <w:rPr>
                <w:b/>
                <w:sz w:val="20"/>
              </w:rPr>
              <w:t>Affected Persons / Data</w:t>
            </w:r>
          </w:p>
        </w:tc>
        <w:tc>
          <w:tcPr>
            <w:tcW w:type="dxa" w:w="6240"/>
          </w:tcPr>
          <w:p>
            <w:r>
              <w:rPr>
                <w:sz w:val="20"/>
              </w:rPr>
              <w:t>[ENTER NUMBER OF AFFECTED PERSONS, DATA CATEGORIES — if personal data: check GDPR notification obligation]</w:t>
            </w:r>
          </w:p>
        </w:tc>
      </w:tr>
      <w:tr>
        <w:tc>
          <w:tcPr>
            <w:tcW w:type="dxa" w:w="3120"/>
          </w:tcPr>
          <w:p>
            <w:r>
              <w:rPr>
                <w:b/>
                <w:sz w:val="20"/>
              </w:rPr>
              <w:t>Immediate Measures</w:t>
            </w:r>
          </w:p>
        </w:tc>
        <w:tc>
          <w:tcPr>
            <w:tcW w:type="dxa" w:w="6240"/>
          </w:tcPr>
          <w:p>
            <w:r>
              <w:rPr>
                <w:sz w:val="20"/>
              </w:rPr>
              <w:t>[WHAT IMMEDIATE STEPS WERE TAKEN? e.g., system locked, output withdrawn, IT notified]</w:t>
            </w:r>
          </w:p>
        </w:tc>
      </w:tr>
      <w:tr>
        <w:tc>
          <w:tcPr>
            <w:tcW w:type="dxa" w:w="3120"/>
          </w:tcPr>
          <w:p>
            <w:r>
              <w:rPr>
                <w:b/>
                <w:sz w:val="20"/>
              </w:rPr>
              <w:t>Root Cause Analysis</w:t>
            </w:r>
          </w:p>
        </w:tc>
        <w:tc>
          <w:tcPr>
            <w:tcW w:type="dxa" w:w="6240"/>
          </w:tcPr>
          <w:p>
            <w:r>
              <w:rPr>
                <w:sz w:val="20"/>
              </w:rPr>
              <w:t>[WHY DID THE INCIDENT OCCUR? Training gap, missing policy, technical failure, etc.]</w:t>
            </w:r>
          </w:p>
        </w:tc>
      </w:tr>
      <w:tr>
        <w:tc>
          <w:tcPr>
            <w:tcW w:type="dxa" w:w="3120"/>
          </w:tcPr>
          <w:p>
            <w:r>
              <w:rPr>
                <w:b/>
                <w:sz w:val="20"/>
              </w:rPr>
              <w:t>Corrective Measures</w:t>
            </w:r>
          </w:p>
        </w:tc>
        <w:tc>
          <w:tcPr>
            <w:tcW w:type="dxa" w:w="6240"/>
          </w:tcPr>
          <w:p>
            <w:r>
              <w:rPr>
                <w:sz w:val="20"/>
              </w:rPr>
              <w:t>[WHAT MEASURES ARE TAKEN TO PREVENT RECURRENCE? Enter responsible person + deadline]</w:t>
            </w:r>
          </w:p>
        </w:tc>
      </w:tr>
      <w:tr>
        <w:tc>
          <w:tcPr>
            <w:tcW w:type="dxa" w:w="3120"/>
          </w:tcPr>
          <w:p>
            <w:r>
              <w:rPr>
                <w:b/>
                <w:sz w:val="20"/>
              </w:rPr>
              <w:t>Reporting Obligation Checked?</w:t>
            </w:r>
          </w:p>
        </w:tc>
        <w:tc>
          <w:tcPr>
            <w:tcW w:type="dxa" w:w="6240"/>
          </w:tcPr>
          <w:p>
            <w:r>
              <w:rPr>
                <w:sz w:val="20"/>
              </w:rPr>
              <w:t>[Yes / No — GDPR Art. 33 (for data breach &gt;72h to data protection authority), EU AI Act Art. 73 (high-risk systems) SELECT]</w:t>
            </w:r>
          </w:p>
        </w:tc>
      </w:tr>
      <w:tr>
        <w:tc>
          <w:tcPr>
            <w:tcW w:type="dxa" w:w="3120"/>
          </w:tcPr>
          <w:p>
            <w:r>
              <w:rPr>
                <w:b/>
                <w:sz w:val="20"/>
              </w:rPr>
              <w:t>Incident Closed On</w:t>
            </w:r>
          </w:p>
        </w:tc>
        <w:tc>
          <w:tcPr>
            <w:tcW w:type="dxa" w:w="6240"/>
          </w:tcPr>
          <w:p>
            <w:r>
              <w:rPr>
                <w:sz w:val="20"/>
              </w:rPr>
              <w:t>[ENTER DATE]</w:t>
            </w:r>
          </w:p>
        </w:tc>
      </w:tr>
      <w:tr>
        <w:tc>
          <w:tcPr>
            <w:tcW w:type="dxa" w:w="3120"/>
          </w:tcPr>
          <w:p>
            <w:r>
              <w:rPr>
                <w:b/>
                <w:sz w:val="20"/>
              </w:rPr>
              <w:t>Signature of Responsible Party</w:t>
            </w:r>
          </w:p>
        </w:tc>
        <w:tc>
          <w:tcPr>
            <w:tcW w:type="dxa" w:w="6240"/>
          </w:tcPr>
          <w:p>
            <w:r>
              <w:rPr>
                <w:sz w:val="20"/>
              </w:rPr>
              <w:t>_____________________________ Date: ___________</w:t>
            </w:r>
          </w:p>
        </w:tc>
      </w:tr>
    </w:tbl>
    <w:p>
      <w:pPr>
        <w:pBdr>
          <w:top w:val="single" w:sz="4" w:color="CCCCCC"/>
        </w:pBdr>
      </w:pPr>
    </w:p>
    <w:p>
      <w:pPr>
        <w:pStyle w:val="BlockQuote"/>
      </w:pPr>
      <w:r>
        <w:rPr>
          <w:sz w:val="18"/>
        </w:rPr>
        <w:t xml:space="preserve">Note: For high-risk AI systems (EU AI Act Art. 9), notification to the competent national market surveillance authority must be considered. Retention period: minimum 10 years. This document is part of the technical documentation pursuant to EU AI Act Annex IV.</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r="http://schemas.openxmlformats.org/officeDocument/2006/relationships" xmlns:wp="http://schemas.openxmlformats.org/drawingml/2006/wordprocessingDrawing" xmlns:w="http://schemas.openxmlformats.org/wordprocessingml/2006/main" xmlns:a="http://schemas.openxmlformats.org/drawingml/2006/main" xmlns:pic="http://schemas.openxmlformats.org/drawingml/2006/picture">
  <w:p>
    <w:pPr>
      <w:pStyle w:val="Footer"/>
      <w:tabs>
        <w:tab w:val="right" w:pos="9026"/>
      </w:tabs>
      <w:spacing w:before="0" w:after="0"/>
    </w:pPr>
    <w:r>
      <w:rPr>
        <w:noProof/>
      </w:rPr>
      <w:drawing>
        <wp:inline distT="0" distB="0" distL="0" distR="91440">
          <wp:extent cx="228600" cy="228600"/>
          <wp:effectExtent l="0" t="0" r="0" b="0"/>
          <wp:docPr id="2001" name="FoundicLogo"/>
          <wp:cNvGraphicFramePr>
            <a:graphicFrameLocks noChangeAspect="1"/>
          </wp:cNvGraphicFramePr>
          <a:graphic>
            <a:graphicData uri="http://schemas.openxmlformats.org/drawingml/2006/picture">
              <pic:pic>
                <pic:nvPicPr>
                  <pic:cNvPr id="2002" name="FoundicLogo"/>
                  <pic:cNvPicPr>
                    <a:picLocks noChangeAspect="1"/>
                  </pic:cNvPicPr>
                </pic:nvPicPr>
                <pic:blipFill>
                  <a:blip r:embed="rId1"/>
                  <a:stretch>
                    <a:fillRect/>
                  </a:stretch>
                </pic:blipFill>
                <pic:spPr>
                  <a:xfrm>
                    <a:off x="0" y="0"/>
                    <a:ext cx="228600" cy="228600"/>
                  </a:xfrm>
                  <a:prstGeom prst="rect">
                    <a:avLst/>
                  </a:prstGeom>
                  <a:noFill/>
                </pic:spPr>
              </pic:pic>
            </a:graphicData>
          </a:graphic>
        </wp:inline>
      </w:drawing>
    </w:r>
    <w:r>
      <w:tab/>
    </w:r>
    <w:hyperlink r:id="rId2" w:history="1">
      <w:r>
        <w:rPr>
          <w:rStyle w:val="Hyperlink"/>
          <w:sz w:val="16"/>
          <w:szCs w:val="16"/>
          <w:color w:val="888888"/>
          <w:u w:val="none"/>
        </w:rPr>
        <w:t>foundic.org</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80" w:after="140"/>
      <w:outlineLvl w:val="0"/>
    </w:pPr>
    <w:rPr>
      <w:rFonts w:ascii="Arial" w:cs="Arial" w:eastAsia="Arial" w:hAnsi="Arial"/>
      <w:b/>
      <w:bCs/>
      <w:color w:val="1F4E79"/>
      <w:sz w:val="28"/>
      <w:szCs w:val="28"/>
    </w:rPr>
  </w:style>
  <w:style w:type="paragraph" w:styleId="Heading2">
    <w:name w:val="Heading 2"/>
    <w:basedOn w:val="Normal"/>
    <w:next w:val="Normal"/>
    <w:qFormat/>
    <w:pPr>
      <w:spacing w:before="200" w:after="100"/>
      <w:outlineLvl w:val="1"/>
    </w:pPr>
    <w:rPr>
      <w:rFonts w:ascii="Arial" w:cs="Arial" w:eastAsia="Arial" w:hAnsi="Arial"/>
      <w:b/>
      <w:bCs/>
      <w:color w:val="2E75B6"/>
      <w:sz w:val="24"/>
      <w:szCs w:val="24"/>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footer" Target="footer1.xml"/></Relationships>
</file>

<file path=word/_rels/footer1.xml.rels><?xml version="1.0" encoding="UTF-8"?><Relationships xmlns="http://schemas.openxmlformats.org/package/2006/relationships"><Relationship Id="rId1" Type="http://schemas.openxmlformats.org/officeDocument/2006/relationships/image" Target="media/foundic_logo.png"/><Relationship Id="rId2" Type="http://schemas.openxmlformats.org/officeDocument/2006/relationships/hyperlink" Target="https://foundic.org" TargetMode="Externa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2026-03-04T22:08:31.606Z</dcterms:created>
  <dcterms:modified xsi:type="dcterms:W3CDTF">2026-03-04T22:08:31.608Z</dcterms:modified>
</cp:coreProperties>
</file>

<file path=docProps/custom.xml><?xml version="1.0" encoding="utf-8"?>
<Properties xmlns="http://schemas.openxmlformats.org/officeDocument/2006/custom-properties" xmlns:vt="http://schemas.openxmlformats.org/officeDocument/2006/docPropsVTypes"/>
</file>